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F00E" w14:textId="7F490F5C" w:rsidR="00D434B3" w:rsidRDefault="00D434B3" w:rsidP="00D434B3">
      <w:pPr>
        <w:spacing w:before="240" w:line="276" w:lineRule="auto"/>
        <w:jc w:val="both"/>
        <w:rPr>
          <w:rFonts w:cstheme="minorHAnsi"/>
          <w:sz w:val="24"/>
          <w:szCs w:val="24"/>
        </w:rPr>
      </w:pPr>
      <w:r w:rsidRPr="00D434B3">
        <w:rPr>
          <w:rFonts w:cstheme="minorHAnsi"/>
          <w:sz w:val="24"/>
          <w:szCs w:val="24"/>
        </w:rPr>
        <w:t>Na temelju članka 54. stavka 1. Zakona o ustanovama („Narodne novine“, broj 76/93, 29/97, 47/99, 35/08, 127/19 i 151/22) i članka 39. stavka 3. Zakona o kulturnim vijećima i financiranju javnih potreba u kulturi („Narodne novine“, broj 83/22), ravnateljica Centra za kulturu_________, uz prethodnu suglasnost Općinskog vijeća Općine Bol, KLASA: ____________ URBROJ: ___________,  od _______ 202</w:t>
      </w:r>
      <w:r>
        <w:rPr>
          <w:rFonts w:cstheme="minorHAnsi"/>
          <w:sz w:val="24"/>
          <w:szCs w:val="24"/>
        </w:rPr>
        <w:t>5</w:t>
      </w:r>
      <w:r w:rsidRPr="00D434B3">
        <w:rPr>
          <w:rFonts w:cstheme="minorHAnsi"/>
          <w:sz w:val="24"/>
          <w:szCs w:val="24"/>
        </w:rPr>
        <w:t>. g.,  dana __________ 202</w:t>
      </w:r>
      <w:r>
        <w:rPr>
          <w:rFonts w:cstheme="minorHAnsi"/>
          <w:sz w:val="24"/>
          <w:szCs w:val="24"/>
        </w:rPr>
        <w:t>5</w:t>
      </w:r>
      <w:r w:rsidRPr="00D434B3">
        <w:rPr>
          <w:rFonts w:cstheme="minorHAnsi"/>
          <w:sz w:val="24"/>
          <w:szCs w:val="24"/>
        </w:rPr>
        <w:t xml:space="preserve">. godine, donijela je </w:t>
      </w:r>
    </w:p>
    <w:p w14:paraId="21144B41" w14:textId="32164757" w:rsidR="00100628" w:rsidRPr="00AD2BFD" w:rsidRDefault="00D434B3" w:rsidP="00D434B3">
      <w:pPr>
        <w:spacing w:before="240" w:line="276" w:lineRule="auto"/>
        <w:jc w:val="center"/>
        <w:rPr>
          <w:rFonts w:cstheme="minorHAnsi"/>
          <w:b/>
          <w:bCs/>
          <w:sz w:val="24"/>
          <w:szCs w:val="24"/>
        </w:rPr>
      </w:pPr>
      <w:r w:rsidRPr="00AD2BFD">
        <w:rPr>
          <w:rFonts w:cstheme="minorHAnsi"/>
          <w:b/>
          <w:bCs/>
          <w:sz w:val="24"/>
          <w:szCs w:val="24"/>
        </w:rPr>
        <w:t>S</w:t>
      </w:r>
      <w:r w:rsidR="00100628" w:rsidRPr="00AD2BFD">
        <w:rPr>
          <w:rFonts w:cstheme="minorHAnsi"/>
          <w:b/>
          <w:bCs/>
          <w:sz w:val="24"/>
          <w:szCs w:val="24"/>
        </w:rPr>
        <w:t>TATUT CENTRA ZA KULTURU OPĆINE BOL</w:t>
      </w:r>
    </w:p>
    <w:p w14:paraId="2297C61F"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I. OPĆE ODREDBE</w:t>
      </w:r>
    </w:p>
    <w:p w14:paraId="33984E02"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w:t>
      </w:r>
      <w:r w:rsidRPr="00100628">
        <w:rPr>
          <w:rFonts w:cstheme="minorHAnsi"/>
          <w:sz w:val="24"/>
          <w:szCs w:val="24"/>
        </w:rPr>
        <w:br/>
        <w:t>Ovim Statutom Centra za kulturu Općine Bol (u daljnjem tekstu: Statut) uređuje se status, naziv, sjedište, pečat i štambilj, zastupanje i predstavljanje, imovina i odgovornost, djelatnost, ustrojstvo, tijela, djelokrug i način rada tijela, financijsko poslovanje, opći akti, radni odnosi, suradnja sa sindikatom, javnost rada, poslovna tajna, zaštita okoliša, mjere obrane te druga pitanja važna za obavljanje djelatnosti Centra za kulturu Općine Bol (u daljnjem tekstu: Centar).</w:t>
      </w:r>
      <w:r w:rsidRPr="00100628">
        <w:rPr>
          <w:rFonts w:cstheme="minorHAnsi"/>
          <w:sz w:val="24"/>
          <w:szCs w:val="24"/>
        </w:rPr>
        <w:br/>
        <w:t>Izrazi koji se koriste u ovom Statutu, a imaju rodno značenje, koriste se neutralno i odnose se jednako na muški i ženski spol.</w:t>
      </w:r>
    </w:p>
    <w:p w14:paraId="74F565C9"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w:t>
      </w:r>
      <w:r w:rsidRPr="00100628">
        <w:rPr>
          <w:rFonts w:cstheme="minorHAnsi"/>
          <w:sz w:val="24"/>
          <w:szCs w:val="24"/>
        </w:rPr>
        <w:br/>
        <w:t>Centar za kulturu Općine Bol je osnovan Odlukom Općine Bol (u daljnjem tekstu: Osnivač) o osnivanju Ustanove u kulturi – Centar za kulturu Općine Bol („Službeni glasnik“ Općine Bol br. 6/2006) i obavlja djelatnost kao javna služba sukladno:</w:t>
      </w:r>
      <w:r w:rsidRPr="00100628">
        <w:rPr>
          <w:rFonts w:cstheme="minorHAnsi"/>
          <w:sz w:val="24"/>
          <w:szCs w:val="24"/>
        </w:rPr>
        <w:br/>
        <w:t>- važećim propisima Republike Hrvatske,</w:t>
      </w:r>
      <w:r w:rsidRPr="00100628">
        <w:rPr>
          <w:rFonts w:cstheme="minorHAnsi"/>
          <w:sz w:val="24"/>
          <w:szCs w:val="24"/>
        </w:rPr>
        <w:br/>
        <w:t>- ovom Statutu,</w:t>
      </w:r>
      <w:r w:rsidRPr="00100628">
        <w:rPr>
          <w:rFonts w:cstheme="minorHAnsi"/>
          <w:sz w:val="24"/>
          <w:szCs w:val="24"/>
        </w:rPr>
        <w:br/>
        <w:t>- drugim općim aktima Centra.</w:t>
      </w:r>
    </w:p>
    <w:p w14:paraId="054EBFAB"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II. STATUS</w:t>
      </w:r>
    </w:p>
    <w:p w14:paraId="05B7855D" w14:textId="77777777" w:rsidR="0096371C" w:rsidRDefault="00100628" w:rsidP="00100628">
      <w:pPr>
        <w:spacing w:before="240" w:line="276" w:lineRule="auto"/>
        <w:rPr>
          <w:rFonts w:cstheme="minorHAnsi"/>
          <w:sz w:val="24"/>
          <w:szCs w:val="24"/>
        </w:rPr>
      </w:pPr>
      <w:r w:rsidRPr="00100628">
        <w:rPr>
          <w:rFonts w:cstheme="minorHAnsi"/>
          <w:sz w:val="24"/>
          <w:szCs w:val="24"/>
        </w:rPr>
        <w:t>Članak 3.</w:t>
      </w:r>
      <w:r w:rsidRPr="00100628">
        <w:rPr>
          <w:rFonts w:cstheme="minorHAnsi"/>
          <w:sz w:val="24"/>
          <w:szCs w:val="24"/>
        </w:rPr>
        <w:br/>
        <w:t>Centar je javna ustanova osnovana za trajno obavljanje djelatnosti u kulturi te organiziranje aktivnosti i manifestacija u realizaciji javnih potreba u kulturi od interesa za Općinu Bol.</w:t>
      </w:r>
      <w:r w:rsidRPr="00100628">
        <w:rPr>
          <w:rFonts w:cstheme="minorHAnsi"/>
          <w:sz w:val="24"/>
          <w:szCs w:val="24"/>
        </w:rPr>
        <w:br/>
        <w:t>Centar je pravna osoba upisana u registar Trgovačkog suda u Splitu, MBS: 060224670</w:t>
      </w:r>
      <w:r w:rsidR="0096371C">
        <w:rPr>
          <w:rFonts w:cstheme="minorHAnsi"/>
          <w:sz w:val="24"/>
          <w:szCs w:val="24"/>
        </w:rPr>
        <w:t>.</w:t>
      </w:r>
    </w:p>
    <w:p w14:paraId="75337488"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III. NAZIV, SJEDIŠTE, PEČAT I ŠTAMBILJ</w:t>
      </w:r>
    </w:p>
    <w:p w14:paraId="520A6BAF"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4.</w:t>
      </w:r>
      <w:r w:rsidRPr="00100628">
        <w:rPr>
          <w:rFonts w:cstheme="minorHAnsi"/>
          <w:sz w:val="24"/>
          <w:szCs w:val="24"/>
        </w:rPr>
        <w:br/>
        <w:t>Centar obavlja svoju djelatnost, posluje i sudjeluje u pravnom prometu pod nazivom: Centar za kulturu Općine Bol.</w:t>
      </w:r>
      <w:r w:rsidRPr="00100628">
        <w:rPr>
          <w:rFonts w:cstheme="minorHAnsi"/>
          <w:sz w:val="24"/>
          <w:szCs w:val="24"/>
        </w:rPr>
        <w:br/>
        <w:t>U pisanoj komunikaciji s fizičkim i pravnim osobama u inozemstvu, Centar može uz svoj naziv upotrebljavati i prijevod naziva na stranome jeziku.</w:t>
      </w:r>
      <w:r w:rsidRPr="00100628">
        <w:rPr>
          <w:rFonts w:cstheme="minorHAnsi"/>
          <w:sz w:val="24"/>
          <w:szCs w:val="24"/>
        </w:rPr>
        <w:br/>
      </w:r>
      <w:r w:rsidRPr="00100628">
        <w:rPr>
          <w:rFonts w:cstheme="minorHAnsi"/>
          <w:sz w:val="24"/>
          <w:szCs w:val="24"/>
        </w:rPr>
        <w:lastRenderedPageBreak/>
        <w:t>Sjedište Centra je u Bolu, na adresi Ulica Frane Radića 18, 21420 Bol.</w:t>
      </w:r>
      <w:r w:rsidRPr="00100628">
        <w:rPr>
          <w:rFonts w:cstheme="minorHAnsi"/>
          <w:sz w:val="24"/>
          <w:szCs w:val="24"/>
        </w:rPr>
        <w:br/>
        <w:t>Naziv Centra ispisan je na ploči koja je istaknuta na zgradi u kojoj je njegovo sjedište i na objektima u kojima obavlja svoju djelatnost.</w:t>
      </w:r>
    </w:p>
    <w:p w14:paraId="74D1F02A"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5.</w:t>
      </w:r>
      <w:r w:rsidRPr="00100628">
        <w:rPr>
          <w:rFonts w:cstheme="minorHAnsi"/>
          <w:sz w:val="24"/>
          <w:szCs w:val="24"/>
        </w:rPr>
        <w:br/>
        <w:t>Centar može promijeniti naziv i sjedište.</w:t>
      </w:r>
      <w:r w:rsidRPr="00100628">
        <w:rPr>
          <w:rFonts w:cstheme="minorHAnsi"/>
          <w:sz w:val="24"/>
          <w:szCs w:val="24"/>
        </w:rPr>
        <w:br/>
        <w:t>O promjeni naziva i sjedišta odlučuje Osnivač.</w:t>
      </w:r>
    </w:p>
    <w:p w14:paraId="34F7620F"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6.</w:t>
      </w:r>
      <w:r w:rsidRPr="00100628">
        <w:rPr>
          <w:rFonts w:cstheme="minorHAnsi"/>
          <w:sz w:val="24"/>
          <w:szCs w:val="24"/>
        </w:rPr>
        <w:br/>
        <w:t>Centar ima pečat ovalnog oblika dužine 40 mm i širine 15 mm sa tekstom „Centar za kulturu Bol“.</w:t>
      </w:r>
      <w:r w:rsidRPr="00100628">
        <w:rPr>
          <w:rFonts w:cstheme="minorHAnsi"/>
          <w:sz w:val="24"/>
          <w:szCs w:val="24"/>
        </w:rPr>
        <w:br/>
        <w:t>Pečatom se ovjeravaju isprave i akti u pravnom prometu i u odnosu prema ovlaštenim javnopravnim tijelima, u skladu sa zakonom.</w:t>
      </w:r>
      <w:r w:rsidRPr="00100628">
        <w:rPr>
          <w:rFonts w:cstheme="minorHAnsi"/>
          <w:sz w:val="24"/>
          <w:szCs w:val="24"/>
        </w:rPr>
        <w:br/>
        <w:t>Odlukom ravnatelja određuje se broj pečata, način njihova korištenja i osobe odgovorne za njihovu upotrebu i čuvanje.</w:t>
      </w:r>
    </w:p>
    <w:p w14:paraId="1179BB62"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IV. PREDSTAVLJANJE I ZASTUPANJE</w:t>
      </w:r>
    </w:p>
    <w:p w14:paraId="0616619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7.</w:t>
      </w:r>
      <w:r w:rsidRPr="00100628">
        <w:rPr>
          <w:rFonts w:cstheme="minorHAnsi"/>
          <w:sz w:val="24"/>
          <w:szCs w:val="24"/>
        </w:rPr>
        <w:br/>
        <w:t>Centar predstavlja i zastupa ravnatelj.</w:t>
      </w:r>
      <w:r w:rsidRPr="00100628">
        <w:rPr>
          <w:rFonts w:cstheme="minorHAnsi"/>
          <w:sz w:val="24"/>
          <w:szCs w:val="24"/>
        </w:rPr>
        <w:br/>
        <w:t>Ravnatelj Centra ovlašten je u ime i za račun Centra samostalno sklapati ugovore i poduzimati druge radnje u pravnom prometu u okviru djelatnosti upisane u sudski registar, a u skladu sa zakonom i ovim Statutom.</w:t>
      </w:r>
      <w:r w:rsidRPr="00100628">
        <w:rPr>
          <w:rFonts w:cstheme="minorHAnsi"/>
          <w:sz w:val="24"/>
          <w:szCs w:val="24"/>
        </w:rPr>
        <w:br/>
        <w:t>Ravnatelj donosi i potpisuje sve akte i dokumentaciju Centra, osim onih koji su zakonom ili ovim Statutom stavljeni u nadležnost Osnivača ili Vijeća Centra za kulturu, a u slučaju njegove odsutnosti jedan od radnika kojeg ovlasti ravnatelj.</w:t>
      </w:r>
    </w:p>
    <w:p w14:paraId="23AAA02B"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8.</w:t>
      </w:r>
      <w:r w:rsidRPr="00100628">
        <w:rPr>
          <w:rFonts w:cstheme="minorHAnsi"/>
          <w:sz w:val="24"/>
          <w:szCs w:val="24"/>
        </w:rPr>
        <w:br/>
        <w:t>Ravnatelj može svoja ovlaštenja za zastupanje Centra prenijeti na druge osobe, o čemu izdaje pisanu punomoć u kojoj navodi radnje ili poslove za koje izdaje punomoć.</w:t>
      </w:r>
    </w:p>
    <w:p w14:paraId="63CF61F1"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V. IMOVINA I ODGOVORNOST</w:t>
      </w:r>
    </w:p>
    <w:p w14:paraId="25ED4FF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10.</w:t>
      </w:r>
      <w:r w:rsidRPr="00100628">
        <w:rPr>
          <w:rFonts w:cstheme="minorHAnsi"/>
          <w:sz w:val="24"/>
          <w:szCs w:val="24"/>
        </w:rPr>
        <w:br/>
        <w:t>Imovinu Centra čine stvari, prava i novac.</w:t>
      </w:r>
      <w:r w:rsidRPr="00100628">
        <w:rPr>
          <w:rFonts w:cstheme="minorHAnsi"/>
          <w:sz w:val="24"/>
          <w:szCs w:val="24"/>
        </w:rPr>
        <w:br/>
        <w:t>Imovinom raspolaže Centar, pod uvjetima i na način propisan zakonom i ovim Statutom.</w:t>
      </w:r>
      <w:r w:rsidRPr="00100628">
        <w:rPr>
          <w:rFonts w:cstheme="minorHAnsi"/>
          <w:sz w:val="24"/>
          <w:szCs w:val="24"/>
        </w:rPr>
        <w:br/>
        <w:t>Centar može u pravnom prometu stjecati prava i preuzimati obveze, može biti vlasnikom pokretnih i nepokretnih stvari te može biti strankom u postupcima pred sudovima i drugim tijelima u skladu sa zakonom.</w:t>
      </w:r>
      <w:r w:rsidRPr="00100628">
        <w:rPr>
          <w:rFonts w:cstheme="minorHAnsi"/>
          <w:sz w:val="24"/>
          <w:szCs w:val="24"/>
        </w:rPr>
        <w:br/>
        <w:t>Za obveze u pravnom prometu Centar odgovara cijelom svojom imovinom.</w:t>
      </w:r>
      <w:r w:rsidRPr="00100628">
        <w:rPr>
          <w:rFonts w:cstheme="minorHAnsi"/>
          <w:sz w:val="24"/>
          <w:szCs w:val="24"/>
        </w:rPr>
        <w:br/>
        <w:t>Osnivač solidarno i neograničeno odgovara za obveze Centra.</w:t>
      </w:r>
    </w:p>
    <w:p w14:paraId="1C218269"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lastRenderedPageBreak/>
        <w:t>Članak 11.</w:t>
      </w:r>
      <w:r w:rsidRPr="00100628">
        <w:rPr>
          <w:rFonts w:cstheme="minorHAnsi"/>
          <w:sz w:val="24"/>
          <w:szCs w:val="24"/>
        </w:rPr>
        <w:br/>
        <w:t>Centar bez prethodne suglasnosti Osnivača ne može:</w:t>
      </w:r>
      <w:r w:rsidRPr="00100628">
        <w:rPr>
          <w:rFonts w:cstheme="minorHAnsi"/>
          <w:sz w:val="24"/>
          <w:szCs w:val="24"/>
        </w:rPr>
        <w:br/>
        <w:t>- steći, opteretiti ili otuđiti nekretnine,</w:t>
      </w:r>
      <w:r w:rsidRPr="00100628">
        <w:rPr>
          <w:rFonts w:cstheme="minorHAnsi"/>
          <w:sz w:val="24"/>
          <w:szCs w:val="24"/>
        </w:rPr>
        <w:br/>
        <w:t>- odlučiti o stjecanju, opterećenju i otuđivanju pokretne i nematerijalne imovine iznad ________ eura,</w:t>
      </w:r>
      <w:r w:rsidRPr="00100628">
        <w:rPr>
          <w:rFonts w:cstheme="minorHAnsi"/>
          <w:sz w:val="24"/>
          <w:szCs w:val="24"/>
        </w:rPr>
        <w:br/>
        <w:t>- zadužiti se i davati jamstva,</w:t>
      </w:r>
      <w:r w:rsidRPr="00100628">
        <w:rPr>
          <w:rFonts w:cstheme="minorHAnsi"/>
          <w:sz w:val="24"/>
          <w:szCs w:val="24"/>
        </w:rPr>
        <w:br/>
        <w:t>- izdavati mjenice i druge instrumente osiguranja plaćanja,</w:t>
      </w:r>
      <w:r w:rsidRPr="00100628">
        <w:rPr>
          <w:rFonts w:cstheme="minorHAnsi"/>
          <w:sz w:val="24"/>
          <w:szCs w:val="24"/>
        </w:rPr>
        <w:br/>
        <w:t>- davati u zakup objekte i prostore koji se ne koriste za osnovnu djelatnost Centra,</w:t>
      </w:r>
      <w:r w:rsidRPr="00100628">
        <w:rPr>
          <w:rFonts w:cstheme="minorHAnsi"/>
          <w:sz w:val="24"/>
          <w:szCs w:val="24"/>
        </w:rPr>
        <w:br/>
        <w:t>- odlučiti o izvođenju građevinskih radova,</w:t>
      </w:r>
      <w:r w:rsidRPr="00100628">
        <w:rPr>
          <w:rFonts w:cstheme="minorHAnsi"/>
          <w:sz w:val="24"/>
          <w:szCs w:val="24"/>
        </w:rPr>
        <w:br/>
        <w:t>- odlučiti o načinu raspolaganja dobiti,</w:t>
      </w:r>
      <w:r w:rsidRPr="00100628">
        <w:rPr>
          <w:rFonts w:cstheme="minorHAnsi"/>
          <w:sz w:val="24"/>
          <w:szCs w:val="24"/>
        </w:rPr>
        <w:br/>
        <w:t>- donijeti Pravilnik o radu, Pravilnik o unutarnjem ustrojstvu i sistematizaciji radnih mjesta Centra,</w:t>
      </w:r>
      <w:r w:rsidRPr="00100628">
        <w:rPr>
          <w:rFonts w:cstheme="minorHAnsi"/>
          <w:sz w:val="24"/>
          <w:szCs w:val="24"/>
        </w:rPr>
        <w:br/>
        <w:t>- promijeniti i proširiti djelatnost ili udruživati se u zajednicu ustanova,</w:t>
      </w:r>
      <w:r w:rsidRPr="00100628">
        <w:rPr>
          <w:rFonts w:cstheme="minorHAnsi"/>
          <w:sz w:val="24"/>
          <w:szCs w:val="24"/>
        </w:rPr>
        <w:br/>
        <w:t>- osnovati drugu pravnu osobu ili odlučiti o prestanku Centra.</w:t>
      </w:r>
    </w:p>
    <w:p w14:paraId="4C94BB2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VI. DJELATNOST CENTRA</w:t>
      </w:r>
    </w:p>
    <w:p w14:paraId="00DCAC2D"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12.</w:t>
      </w:r>
      <w:r w:rsidRPr="00100628">
        <w:rPr>
          <w:rFonts w:cstheme="minorHAnsi"/>
          <w:sz w:val="24"/>
          <w:szCs w:val="24"/>
        </w:rPr>
        <w:br/>
        <w:t>Centar obavlja djelatnosti u kulturi i organiziranje aktivnosti i manifestacija u realizaciji javnih potreba u kulturi od interesa za Osnivača, uključujući:</w:t>
      </w:r>
      <w:r w:rsidRPr="00100628">
        <w:rPr>
          <w:rFonts w:cstheme="minorHAnsi"/>
          <w:sz w:val="24"/>
          <w:szCs w:val="24"/>
        </w:rPr>
        <w:br/>
        <w:t>- pripremu i organizaciju kulturno-umjetničkih programa (kazalište, glazba, film, ples, likovna i audiovizualna djelatnost),</w:t>
      </w:r>
      <w:r w:rsidRPr="00100628">
        <w:rPr>
          <w:rFonts w:cstheme="minorHAnsi"/>
          <w:sz w:val="24"/>
          <w:szCs w:val="24"/>
        </w:rPr>
        <w:br/>
        <w:t>- organizaciju kulturno-umjetničke poduke, edukativnih aktivnosti i radionica, tribina, predavanja i stručnih skupova,</w:t>
      </w:r>
      <w:r w:rsidRPr="00100628">
        <w:rPr>
          <w:rFonts w:cstheme="minorHAnsi"/>
          <w:sz w:val="24"/>
          <w:szCs w:val="24"/>
        </w:rPr>
        <w:br/>
        <w:t>- organizaciju tečajeva iz informatike, stranih jezika i glazbenih instrumenata,</w:t>
      </w:r>
      <w:r w:rsidRPr="00100628">
        <w:rPr>
          <w:rFonts w:cstheme="minorHAnsi"/>
          <w:sz w:val="24"/>
          <w:szCs w:val="24"/>
        </w:rPr>
        <w:br/>
        <w:t>- aktivnosti i manifestacije za povećanje dostupnosti, raznolikosti i suradnje s civilnim društvom.</w:t>
      </w:r>
      <w:r w:rsidRPr="00100628">
        <w:rPr>
          <w:rFonts w:cstheme="minorHAnsi"/>
          <w:sz w:val="24"/>
          <w:szCs w:val="24"/>
        </w:rPr>
        <w:br/>
        <w:t>Centar može obavljati i druge djelatnosti koje doprinose osnovnoj djelatnosti, uključujući organizaciju izložbi, javno prikazivanje audiovizualnih djela, iznajmljivanje videograma i nakladničku djelatnost.</w:t>
      </w:r>
    </w:p>
    <w:p w14:paraId="2CC5E821"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13.</w:t>
      </w:r>
      <w:r w:rsidRPr="00100628">
        <w:rPr>
          <w:rFonts w:cstheme="minorHAnsi"/>
          <w:sz w:val="24"/>
          <w:szCs w:val="24"/>
        </w:rPr>
        <w:br/>
        <w:t>Centar obavlja djelatnost na temelju godišnjeg programa rada i razvitka.</w:t>
      </w:r>
      <w:r w:rsidRPr="00100628">
        <w:rPr>
          <w:rFonts w:cstheme="minorHAnsi"/>
          <w:sz w:val="24"/>
          <w:szCs w:val="24"/>
        </w:rPr>
        <w:br/>
        <w:t>Program rada i razvitka Centra, u dijelu koji Osnivač utvrdi kao svoju javnu potrebu, financira se iz Proračuna Osnivača.</w:t>
      </w:r>
      <w:r w:rsidRPr="00100628">
        <w:rPr>
          <w:rFonts w:cstheme="minorHAnsi"/>
          <w:sz w:val="24"/>
          <w:szCs w:val="24"/>
        </w:rPr>
        <w:br/>
        <w:t>Centar izvješćuje Osnivača o izvršenju godišnjeg programa, a program rada objavljuje na službenim mrežnim stranicama Centra.</w:t>
      </w:r>
    </w:p>
    <w:p w14:paraId="3F671328"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14.</w:t>
      </w:r>
      <w:r w:rsidRPr="00100628">
        <w:rPr>
          <w:rFonts w:cstheme="minorHAnsi"/>
          <w:sz w:val="24"/>
          <w:szCs w:val="24"/>
        </w:rPr>
        <w:br/>
        <w:t>Dobit Centra može se koristiti isključivo za obavljanje i razvoj djelatnosti, sukladno zakonu. Osnivač može odlučiti da se dobit upotrijebi i za razvoj djelatnosti druge ustanove čiji je osnivač.</w:t>
      </w:r>
    </w:p>
    <w:p w14:paraId="7056AA5A"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lastRenderedPageBreak/>
        <w:t>VII. UNUTARNJE USTROJSTVO I NAČIN RADA</w:t>
      </w:r>
    </w:p>
    <w:p w14:paraId="47D2257F"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15.</w:t>
      </w:r>
      <w:r w:rsidRPr="00100628">
        <w:rPr>
          <w:rFonts w:cstheme="minorHAnsi"/>
          <w:sz w:val="24"/>
          <w:szCs w:val="24"/>
        </w:rPr>
        <w:br/>
        <w:t>Unutarnjim ustrojstvom osigurava se djelotvoran rad Centra i ostvarivanje godišnjeg programa rada i razvitka.</w:t>
      </w:r>
    </w:p>
    <w:p w14:paraId="63F55B11"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16.</w:t>
      </w:r>
      <w:r w:rsidRPr="00100628">
        <w:rPr>
          <w:rFonts w:cstheme="minorHAnsi"/>
          <w:sz w:val="24"/>
          <w:szCs w:val="24"/>
        </w:rPr>
        <w:br/>
        <w:t>Ravnatelj donosi Pravilnik o unutarnjem ustrojstvu i sistematizaciji radnih mjesta.</w:t>
      </w:r>
    </w:p>
    <w:p w14:paraId="56B3848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17.</w:t>
      </w:r>
      <w:r w:rsidRPr="00100628">
        <w:rPr>
          <w:rFonts w:cstheme="minorHAnsi"/>
          <w:sz w:val="24"/>
          <w:szCs w:val="24"/>
        </w:rPr>
        <w:br/>
        <w:t>Radno vrijeme Centra utvrđuje ravnatelj prema potrebama djelatnosti u skladu sa zakonom.</w:t>
      </w:r>
    </w:p>
    <w:p w14:paraId="3FEFF15B"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VIII. TIJELA CENTRA</w:t>
      </w:r>
    </w:p>
    <w:p w14:paraId="730B0061"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18.</w:t>
      </w:r>
      <w:r w:rsidRPr="00100628">
        <w:rPr>
          <w:rFonts w:cstheme="minorHAnsi"/>
          <w:sz w:val="24"/>
          <w:szCs w:val="24"/>
        </w:rPr>
        <w:br/>
        <w:t>Tijela Centra su:</w:t>
      </w:r>
      <w:r w:rsidRPr="00100628">
        <w:rPr>
          <w:rFonts w:cstheme="minorHAnsi"/>
          <w:sz w:val="24"/>
          <w:szCs w:val="24"/>
        </w:rPr>
        <w:br/>
        <w:t>- Ravnatelj</w:t>
      </w:r>
      <w:r w:rsidRPr="00100628">
        <w:rPr>
          <w:rFonts w:cstheme="minorHAnsi"/>
          <w:sz w:val="24"/>
          <w:szCs w:val="24"/>
        </w:rPr>
        <w:br/>
        <w:t>- Vijeće Centra za kulturu</w:t>
      </w:r>
      <w:r w:rsidRPr="00100628">
        <w:rPr>
          <w:rFonts w:cstheme="minorHAnsi"/>
          <w:sz w:val="24"/>
          <w:szCs w:val="24"/>
        </w:rPr>
        <w:br/>
        <w:t>U obavljanju poslova iz svoje nadležnosti, ravnatelj može osnovati i druga savjetodavna i radna tijela temeljem zakona, podzakonskog propisa ili općeg akta Centra.</w:t>
      </w:r>
    </w:p>
    <w:p w14:paraId="081A7EA8" w14:textId="77777777" w:rsidR="00100628" w:rsidRPr="00100628" w:rsidRDefault="00100628" w:rsidP="00100628">
      <w:pPr>
        <w:numPr>
          <w:ilvl w:val="0"/>
          <w:numId w:val="1"/>
        </w:numPr>
        <w:spacing w:before="240" w:line="276" w:lineRule="auto"/>
        <w:rPr>
          <w:rFonts w:cstheme="minorHAnsi"/>
          <w:sz w:val="24"/>
          <w:szCs w:val="24"/>
        </w:rPr>
      </w:pPr>
      <w:r w:rsidRPr="00100628">
        <w:rPr>
          <w:rFonts w:cstheme="minorHAnsi"/>
          <w:sz w:val="24"/>
          <w:szCs w:val="24"/>
        </w:rPr>
        <w:t>Ravnatelj</w:t>
      </w:r>
    </w:p>
    <w:p w14:paraId="7B79986B"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19.</w:t>
      </w:r>
      <w:r w:rsidRPr="00100628">
        <w:rPr>
          <w:rFonts w:cstheme="minorHAnsi"/>
          <w:sz w:val="24"/>
          <w:szCs w:val="24"/>
        </w:rPr>
        <w:br/>
        <w:t>Centrom upravlja ravnatelj.</w:t>
      </w:r>
      <w:r w:rsidRPr="00100628">
        <w:rPr>
          <w:rFonts w:cstheme="minorHAnsi"/>
          <w:sz w:val="24"/>
          <w:szCs w:val="24"/>
        </w:rPr>
        <w:br/>
        <w:t>Ravnatelj obavlja sljedeće poslove:</w:t>
      </w:r>
      <w:r w:rsidRPr="00100628">
        <w:rPr>
          <w:rFonts w:cstheme="minorHAnsi"/>
          <w:sz w:val="24"/>
          <w:szCs w:val="24"/>
        </w:rPr>
        <w:br/>
        <w:t>- predstavlja i zastupa Centar u pravnom prometu te u svim postupcima pred sudovima i javnopravnim tijelima,</w:t>
      </w:r>
      <w:r w:rsidRPr="00100628">
        <w:rPr>
          <w:rFonts w:cstheme="minorHAnsi"/>
          <w:sz w:val="24"/>
          <w:szCs w:val="24"/>
        </w:rPr>
        <w:br/>
        <w:t>- poduzima sve pravne radnje u ime i za račun Centra,</w:t>
      </w:r>
      <w:r w:rsidRPr="00100628">
        <w:rPr>
          <w:rFonts w:cstheme="minorHAnsi"/>
          <w:sz w:val="24"/>
          <w:szCs w:val="24"/>
        </w:rPr>
        <w:br/>
        <w:t>- odgovara za zakonitost rada Centra,</w:t>
      </w:r>
      <w:r w:rsidRPr="00100628">
        <w:rPr>
          <w:rFonts w:cstheme="minorHAnsi"/>
          <w:sz w:val="24"/>
          <w:szCs w:val="24"/>
        </w:rPr>
        <w:br/>
        <w:t>- organizira i vodi rad i poslovanje Centra,</w:t>
      </w:r>
      <w:r w:rsidRPr="00100628">
        <w:rPr>
          <w:rFonts w:cstheme="minorHAnsi"/>
          <w:sz w:val="24"/>
          <w:szCs w:val="24"/>
        </w:rPr>
        <w:br/>
        <w:t>- vodi stručan rad Centra i odgovara za njega,</w:t>
      </w:r>
      <w:r w:rsidRPr="00100628">
        <w:rPr>
          <w:rFonts w:cstheme="minorHAnsi"/>
          <w:sz w:val="24"/>
          <w:szCs w:val="24"/>
        </w:rPr>
        <w:br/>
        <w:t>- donosi Statut Centra uz prethodnu suglasnost Općinskog vijeća,</w:t>
      </w:r>
      <w:r w:rsidRPr="00100628">
        <w:rPr>
          <w:rFonts w:cstheme="minorHAnsi"/>
          <w:sz w:val="24"/>
          <w:szCs w:val="24"/>
        </w:rPr>
        <w:br/>
        <w:t>- donosi odluku o promjeni djelatnosti Centra uz prethodnu suglasnost Osnivača,</w:t>
      </w:r>
      <w:r w:rsidRPr="00100628">
        <w:rPr>
          <w:rFonts w:cstheme="minorHAnsi"/>
          <w:sz w:val="24"/>
          <w:szCs w:val="24"/>
        </w:rPr>
        <w:br/>
        <w:t>- donosi odluku o pokriću gubitka uz prethodnu suglasnost Osnivača,</w:t>
      </w:r>
      <w:r w:rsidRPr="00100628">
        <w:rPr>
          <w:rFonts w:cstheme="minorHAnsi"/>
          <w:sz w:val="24"/>
          <w:szCs w:val="24"/>
        </w:rPr>
        <w:br/>
        <w:t>- donosi Pravilnik o radu i Pravilnik o unutarnjem ustrojstvu i sistematizaciji radnih mjesta, uz prethodnu suglasnost Osnivača,</w:t>
      </w:r>
      <w:r w:rsidRPr="00100628">
        <w:rPr>
          <w:rFonts w:cstheme="minorHAnsi"/>
          <w:sz w:val="24"/>
          <w:szCs w:val="24"/>
        </w:rPr>
        <w:br/>
        <w:t>- donosi druge opće akte utvrđene zakonom i Statutom,</w:t>
      </w:r>
      <w:r w:rsidRPr="00100628">
        <w:rPr>
          <w:rFonts w:cstheme="minorHAnsi"/>
          <w:sz w:val="24"/>
          <w:szCs w:val="24"/>
        </w:rPr>
        <w:br/>
        <w:t>- donosi godišnji program rada i razvitka Centra,</w:t>
      </w:r>
      <w:r w:rsidRPr="00100628">
        <w:rPr>
          <w:rFonts w:cstheme="minorHAnsi"/>
          <w:sz w:val="24"/>
          <w:szCs w:val="24"/>
        </w:rPr>
        <w:br/>
        <w:t>- donosi prijedlog financijskog plana u skladu sa Zakonom o proračunu,</w:t>
      </w:r>
      <w:r w:rsidRPr="00100628">
        <w:rPr>
          <w:rFonts w:cstheme="minorHAnsi"/>
          <w:sz w:val="24"/>
          <w:szCs w:val="24"/>
        </w:rPr>
        <w:br/>
        <w:t>- odlučuje o stjecanju, opterećenju i otuđivanju nekretnina, pokretne i nematerijalne imovine, zaduživanju i jamstvima, uz prethodnu suglasnost Osnivača,</w:t>
      </w:r>
      <w:r w:rsidRPr="00100628">
        <w:rPr>
          <w:rFonts w:cstheme="minorHAnsi"/>
          <w:sz w:val="24"/>
          <w:szCs w:val="24"/>
        </w:rPr>
        <w:br/>
        <w:t>- daje pisane punomoći za zastupanje Centra u pravnom prometu,</w:t>
      </w:r>
      <w:r w:rsidRPr="00100628">
        <w:rPr>
          <w:rFonts w:cstheme="minorHAnsi"/>
          <w:sz w:val="24"/>
          <w:szCs w:val="24"/>
        </w:rPr>
        <w:br/>
      </w:r>
      <w:r w:rsidRPr="00100628">
        <w:rPr>
          <w:rFonts w:cstheme="minorHAnsi"/>
          <w:sz w:val="24"/>
          <w:szCs w:val="24"/>
        </w:rPr>
        <w:lastRenderedPageBreak/>
        <w:t>- donosi odluke o popisu imovine, potraživanja i obveza Centra,</w:t>
      </w:r>
      <w:r w:rsidRPr="00100628">
        <w:rPr>
          <w:rFonts w:cstheme="minorHAnsi"/>
          <w:sz w:val="24"/>
          <w:szCs w:val="24"/>
        </w:rPr>
        <w:br/>
        <w:t>- određuje osobe ovlaštene za potpisivanje financijske i druge dokumentacije,</w:t>
      </w:r>
      <w:r w:rsidRPr="00100628">
        <w:rPr>
          <w:rFonts w:cstheme="minorHAnsi"/>
          <w:sz w:val="24"/>
          <w:szCs w:val="24"/>
        </w:rPr>
        <w:br/>
        <w:t>- odlučuje o zasnivanju radnog odnosa radnika nakon provedenog javnog natječaja,</w:t>
      </w:r>
      <w:r w:rsidRPr="00100628">
        <w:rPr>
          <w:rFonts w:cstheme="minorHAnsi"/>
          <w:sz w:val="24"/>
          <w:szCs w:val="24"/>
        </w:rPr>
        <w:br/>
        <w:t>- obavlja i druge poslove utvrđene zakonom, Statutom i drugim općim aktima Centra.</w:t>
      </w:r>
    </w:p>
    <w:p w14:paraId="02D9333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20.</w:t>
      </w:r>
      <w:r w:rsidRPr="00100628">
        <w:rPr>
          <w:rFonts w:cstheme="minorHAnsi"/>
          <w:sz w:val="24"/>
          <w:szCs w:val="24"/>
        </w:rPr>
        <w:br/>
        <w:t>Ravnatelja Centra imenuje i razrješava načelnik na temelju provedenog javnog natječaja.</w:t>
      </w:r>
      <w:r w:rsidRPr="00100628">
        <w:rPr>
          <w:rFonts w:cstheme="minorHAnsi"/>
          <w:sz w:val="24"/>
          <w:szCs w:val="24"/>
        </w:rPr>
        <w:br/>
        <w:t>Javni natječaj raspisuje i provodi Centar najkasnije tri mjeseca prije isteka mandata ravnatelja, a rok za podnošenje prijava ne može biti kraći od 30 dana.</w:t>
      </w:r>
      <w:r w:rsidRPr="00100628">
        <w:rPr>
          <w:rFonts w:cstheme="minorHAnsi"/>
          <w:sz w:val="24"/>
          <w:szCs w:val="24"/>
        </w:rPr>
        <w:br/>
        <w:t>Ako se nitko ne prijavi ili kandidati ne ispunjavaju uvjete, natječaj se ponavlja.</w:t>
      </w:r>
      <w:r w:rsidRPr="00100628">
        <w:rPr>
          <w:rFonts w:cstheme="minorHAnsi"/>
          <w:sz w:val="24"/>
          <w:szCs w:val="24"/>
        </w:rPr>
        <w:br/>
        <w:t>Do imenovanja ravnatelja, vršitelj dužnosti može biti imenovan na najdulje godinu dana.</w:t>
      </w:r>
    </w:p>
    <w:p w14:paraId="618E7FA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21.</w:t>
      </w:r>
      <w:r w:rsidRPr="00100628">
        <w:rPr>
          <w:rFonts w:cstheme="minorHAnsi"/>
          <w:sz w:val="24"/>
          <w:szCs w:val="24"/>
        </w:rPr>
        <w:br/>
        <w:t>Za ravnatelja Centra može se imenovati osoba koja ispunjava:</w:t>
      </w:r>
      <w:r w:rsidRPr="00100628">
        <w:rPr>
          <w:rFonts w:cstheme="minorHAnsi"/>
          <w:sz w:val="24"/>
          <w:szCs w:val="24"/>
        </w:rPr>
        <w:br/>
        <w:t>- završen diplomski ili integrirani preddiplomski i diplomski studij ili specijalistički studij,</w:t>
      </w:r>
      <w:r w:rsidRPr="00100628">
        <w:rPr>
          <w:rFonts w:cstheme="minorHAnsi"/>
          <w:sz w:val="24"/>
          <w:szCs w:val="24"/>
        </w:rPr>
        <w:br/>
        <w:t>- stručne, radne i organizacijske sposobnosti,</w:t>
      </w:r>
      <w:r w:rsidRPr="00100628">
        <w:rPr>
          <w:rFonts w:cstheme="minorHAnsi"/>
          <w:sz w:val="24"/>
          <w:szCs w:val="24"/>
        </w:rPr>
        <w:br/>
        <w:t>- najmanje pet godina radnog staža u propisanoj vrsti obrazovanja,</w:t>
      </w:r>
      <w:r w:rsidRPr="00100628">
        <w:rPr>
          <w:rFonts w:cstheme="minorHAnsi"/>
          <w:sz w:val="24"/>
          <w:szCs w:val="24"/>
        </w:rPr>
        <w:br/>
        <w:t>- protiv koje se ne vodi kazneni postupak.</w:t>
      </w:r>
    </w:p>
    <w:p w14:paraId="32C3E5C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22.</w:t>
      </w:r>
      <w:r w:rsidRPr="00100628">
        <w:rPr>
          <w:rFonts w:cstheme="minorHAnsi"/>
          <w:sz w:val="24"/>
          <w:szCs w:val="24"/>
        </w:rPr>
        <w:br/>
        <w:t>Ravnatelj sklapa ugovor o radu s Osnivačem na četiri godine.</w:t>
      </w:r>
      <w:r w:rsidRPr="00100628">
        <w:rPr>
          <w:rFonts w:cstheme="minorHAnsi"/>
          <w:sz w:val="24"/>
          <w:szCs w:val="24"/>
        </w:rPr>
        <w:br/>
        <w:t>Po prestanku mandata, prethodno zaposlenici imaju pravo povratka na radno mjesto iste složenosti, bez javnog natječaja.</w:t>
      </w:r>
    </w:p>
    <w:p w14:paraId="20524E3F" w14:textId="77777777" w:rsidR="00100628" w:rsidRPr="00100628" w:rsidRDefault="00100628" w:rsidP="00100628">
      <w:pPr>
        <w:numPr>
          <w:ilvl w:val="0"/>
          <w:numId w:val="2"/>
        </w:numPr>
        <w:spacing w:before="240" w:line="276" w:lineRule="auto"/>
        <w:rPr>
          <w:rFonts w:cstheme="minorHAnsi"/>
          <w:sz w:val="24"/>
          <w:szCs w:val="24"/>
        </w:rPr>
      </w:pPr>
      <w:r w:rsidRPr="00100628">
        <w:rPr>
          <w:rFonts w:cstheme="minorHAnsi"/>
          <w:sz w:val="24"/>
          <w:szCs w:val="24"/>
        </w:rPr>
        <w:t>Vijeće Centra za kulturu</w:t>
      </w:r>
    </w:p>
    <w:p w14:paraId="109089A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23.</w:t>
      </w:r>
      <w:r w:rsidRPr="00100628">
        <w:rPr>
          <w:rFonts w:cstheme="minorHAnsi"/>
          <w:sz w:val="24"/>
          <w:szCs w:val="24"/>
        </w:rPr>
        <w:br/>
        <w:t>Centar ima Vijeće Centra za kulturu.</w:t>
      </w:r>
      <w:r w:rsidRPr="00100628">
        <w:rPr>
          <w:rFonts w:cstheme="minorHAnsi"/>
          <w:sz w:val="24"/>
          <w:szCs w:val="24"/>
        </w:rPr>
        <w:br/>
        <w:t>Vijeće je kolegijalno stručno tijelo Centra, ima 7 članova i imenuje ih Osnivač među istaknutim stručnjacima i kulturnim djelatnicima.</w:t>
      </w:r>
      <w:r w:rsidRPr="00100628">
        <w:rPr>
          <w:rFonts w:cstheme="minorHAnsi"/>
          <w:sz w:val="24"/>
          <w:szCs w:val="24"/>
        </w:rPr>
        <w:br/>
        <w:t>Način rada Vijeća utvrđuje Poslovnik Vijeća.</w:t>
      </w:r>
    </w:p>
    <w:p w14:paraId="13FD791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24.</w:t>
      </w:r>
      <w:r w:rsidRPr="00100628">
        <w:rPr>
          <w:rFonts w:cstheme="minorHAnsi"/>
          <w:sz w:val="24"/>
          <w:szCs w:val="24"/>
        </w:rPr>
        <w:br/>
        <w:t>Vijeće bira predsjednika i njegovog zamjenika iz redova svojih članova, na vrijeme od četiri godine, javnim ili tajnim glasovanjem.</w:t>
      </w:r>
    </w:p>
    <w:p w14:paraId="7E1AAA9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25.</w:t>
      </w:r>
      <w:r w:rsidRPr="00100628">
        <w:rPr>
          <w:rFonts w:cstheme="minorHAnsi"/>
          <w:sz w:val="24"/>
          <w:szCs w:val="24"/>
        </w:rPr>
        <w:br/>
        <w:t>Sjednice Vijeća saziva predsjednik, a u njegovoj spriječenosti zamjenik.</w:t>
      </w:r>
      <w:r w:rsidRPr="00100628">
        <w:rPr>
          <w:rFonts w:cstheme="minorHAnsi"/>
          <w:sz w:val="24"/>
          <w:szCs w:val="24"/>
        </w:rPr>
        <w:br/>
        <w:t>Sjednica može biti održana ako je prisutna većina članova.</w:t>
      </w:r>
      <w:r w:rsidRPr="00100628">
        <w:rPr>
          <w:rFonts w:cstheme="minorHAnsi"/>
          <w:sz w:val="24"/>
          <w:szCs w:val="24"/>
        </w:rPr>
        <w:br/>
        <w:t>Vijeće odlučuje većinom glasova prisutnih članova.</w:t>
      </w:r>
      <w:r w:rsidRPr="00100628">
        <w:rPr>
          <w:rFonts w:cstheme="minorHAnsi"/>
          <w:sz w:val="24"/>
          <w:szCs w:val="24"/>
        </w:rPr>
        <w:br/>
        <w:t>U radu Vijeća sudjeluje ravnatelj i drugi radnici koje pozove predsjednik, bez prava odlučivanja.</w:t>
      </w:r>
      <w:r w:rsidRPr="00100628">
        <w:rPr>
          <w:rFonts w:cstheme="minorHAnsi"/>
          <w:sz w:val="24"/>
          <w:szCs w:val="24"/>
        </w:rPr>
        <w:br/>
        <w:t>Sjednica se mora sazvati na zahtjev ravnatelja ili najmanje trećine članova Vijeća.</w:t>
      </w:r>
    </w:p>
    <w:p w14:paraId="600F30C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lastRenderedPageBreak/>
        <w:t>Članak 26.</w:t>
      </w:r>
      <w:r w:rsidRPr="00100628">
        <w:rPr>
          <w:rFonts w:cstheme="minorHAnsi"/>
          <w:sz w:val="24"/>
          <w:szCs w:val="24"/>
        </w:rPr>
        <w:br/>
        <w:t>Zadaća Vijeća je:</w:t>
      </w:r>
      <w:r w:rsidRPr="00100628">
        <w:rPr>
          <w:rFonts w:cstheme="minorHAnsi"/>
          <w:sz w:val="24"/>
          <w:szCs w:val="24"/>
        </w:rPr>
        <w:br/>
        <w:t>- raspravljati i odlučivati o stručnim pitanjima rada Centra,</w:t>
      </w:r>
      <w:r w:rsidRPr="00100628">
        <w:rPr>
          <w:rFonts w:cstheme="minorHAnsi"/>
          <w:sz w:val="24"/>
          <w:szCs w:val="24"/>
        </w:rPr>
        <w:br/>
        <w:t>- davati ravnatelju mišljenja i prijedloge glede organizacije rada i uvjeta za razvoj djelatnosti,</w:t>
      </w:r>
      <w:r w:rsidRPr="00100628">
        <w:rPr>
          <w:rFonts w:cstheme="minorHAnsi"/>
          <w:sz w:val="24"/>
          <w:szCs w:val="24"/>
        </w:rPr>
        <w:br/>
        <w:t>- davati mišljenja i prijedloge o godišnjem programu rada i razvitka Centra,</w:t>
      </w:r>
      <w:r w:rsidRPr="00100628">
        <w:rPr>
          <w:rFonts w:cstheme="minorHAnsi"/>
          <w:sz w:val="24"/>
          <w:szCs w:val="24"/>
        </w:rPr>
        <w:br/>
        <w:t>- raspravljati o rezultatima stručnog rada Centra.</w:t>
      </w:r>
    </w:p>
    <w:p w14:paraId="41CF3EE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IX. FINANCIJSKO POSLOVANJE</w:t>
      </w:r>
    </w:p>
    <w:p w14:paraId="46ACDA0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27.</w:t>
      </w:r>
      <w:r w:rsidRPr="00100628">
        <w:rPr>
          <w:rFonts w:cstheme="minorHAnsi"/>
          <w:sz w:val="24"/>
          <w:szCs w:val="24"/>
        </w:rPr>
        <w:br/>
        <w:t>Centar vodi financijsko poslovanje i računovodstvo u skladu s propisima za proračunske korisnike.</w:t>
      </w:r>
      <w:r w:rsidRPr="00100628">
        <w:rPr>
          <w:rFonts w:cstheme="minorHAnsi"/>
          <w:sz w:val="24"/>
          <w:szCs w:val="24"/>
        </w:rPr>
        <w:br/>
        <w:t>Centar ima jedinstven žiro račun.</w:t>
      </w:r>
    </w:p>
    <w:p w14:paraId="7034AAD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28.</w:t>
      </w:r>
      <w:r w:rsidRPr="00100628">
        <w:rPr>
          <w:rFonts w:cstheme="minorHAnsi"/>
          <w:sz w:val="24"/>
          <w:szCs w:val="24"/>
        </w:rPr>
        <w:br/>
        <w:t>Osnivač kontrolira zakonito, svrhovito i djelotvorno raspolaganje sredstvima.</w:t>
      </w:r>
    </w:p>
    <w:p w14:paraId="2F8AB659"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29.</w:t>
      </w:r>
      <w:r w:rsidRPr="00100628">
        <w:rPr>
          <w:rFonts w:cstheme="minorHAnsi"/>
          <w:sz w:val="24"/>
          <w:szCs w:val="24"/>
        </w:rPr>
        <w:br/>
        <w:t>Sredstva za rad Centra osiguravaju se iz proračuna Osnivača, vlastitih prihoda, donacija, sponzorstava i drugih izvora u skladu sa zakonom.</w:t>
      </w:r>
    </w:p>
    <w:p w14:paraId="77824FAB"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30.</w:t>
      </w:r>
      <w:r w:rsidRPr="00100628">
        <w:rPr>
          <w:rFonts w:cstheme="minorHAnsi"/>
          <w:sz w:val="24"/>
          <w:szCs w:val="24"/>
        </w:rPr>
        <w:br/>
        <w:t>Ravnatelj je naredbodavatelj za izvršavanje financijskog plana.</w:t>
      </w:r>
    </w:p>
    <w:p w14:paraId="5D373D11"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 OPĆI AKTI CENTRA</w:t>
      </w:r>
    </w:p>
    <w:p w14:paraId="2B2EAF63"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31.</w:t>
      </w:r>
    </w:p>
    <w:p w14:paraId="390B2642"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br/>
        <w:t>Centar ima sljedeće opće akte:</w:t>
      </w:r>
    </w:p>
    <w:p w14:paraId="7BC77BC7"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Statut</w:t>
      </w:r>
    </w:p>
    <w:p w14:paraId="2EE47E46"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radu</w:t>
      </w:r>
    </w:p>
    <w:p w14:paraId="0ECD1C5F"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unutarnjem ustrojstvu i sistematizaciji radnih mjesta</w:t>
      </w:r>
    </w:p>
    <w:p w14:paraId="6DC6334A"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zaštiti na radu</w:t>
      </w:r>
    </w:p>
    <w:p w14:paraId="67AA825C"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zaštiti od požara</w:t>
      </w:r>
    </w:p>
    <w:p w14:paraId="1357F398"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jednostavnoj nabavi</w:t>
      </w:r>
    </w:p>
    <w:p w14:paraId="3028BE79"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načinu korištenja vlastitih prihoda</w:t>
      </w:r>
    </w:p>
    <w:p w14:paraId="262000E6"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Pravilnik o upravljanju dokumentarnim gradivom Centra</w:t>
      </w:r>
    </w:p>
    <w:p w14:paraId="34CF4256"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lastRenderedPageBreak/>
        <w:t>Pravilnik o postupanju s kratkotrajnom i dugotrajnom imovinom te popisu imovine i obveza</w:t>
      </w:r>
    </w:p>
    <w:p w14:paraId="0E309B5C"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Poslovnik o radu Vijeća Centra za kulturu</w:t>
      </w:r>
    </w:p>
    <w:p w14:paraId="79C4E226" w14:textId="77777777" w:rsidR="00100628" w:rsidRPr="00100628" w:rsidRDefault="00100628" w:rsidP="00100628">
      <w:pPr>
        <w:numPr>
          <w:ilvl w:val="0"/>
          <w:numId w:val="3"/>
        </w:numPr>
        <w:spacing w:before="240" w:line="276" w:lineRule="auto"/>
        <w:rPr>
          <w:rFonts w:cstheme="minorHAnsi"/>
          <w:sz w:val="24"/>
          <w:szCs w:val="24"/>
        </w:rPr>
      </w:pPr>
      <w:r w:rsidRPr="00100628">
        <w:rPr>
          <w:rFonts w:cstheme="minorHAnsi"/>
          <w:sz w:val="24"/>
          <w:szCs w:val="24"/>
        </w:rPr>
        <w:t>Druge opće akte sukladno zakonu, drugim propisima i ovom Statutu</w:t>
      </w:r>
    </w:p>
    <w:p w14:paraId="1124C1D2"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32.</w:t>
      </w:r>
      <w:r w:rsidRPr="00100628">
        <w:rPr>
          <w:rFonts w:cstheme="minorHAnsi"/>
          <w:sz w:val="24"/>
          <w:szCs w:val="24"/>
        </w:rPr>
        <w:br/>
        <w:t>Statut i drugi opći akti Centra, kao i njihove izmjene i dopune, donose se u skladu sa zakonom i ovim Statutom.</w:t>
      </w:r>
      <w:r w:rsidRPr="00100628">
        <w:rPr>
          <w:rFonts w:cstheme="minorHAnsi"/>
          <w:sz w:val="24"/>
          <w:szCs w:val="24"/>
        </w:rPr>
        <w:br/>
        <w:t>Stupaju na snagu osmog dana nakon objave na oglasnoj ploči Centra, osim ako opći akt propisuje drugačije.</w:t>
      </w:r>
      <w:r w:rsidRPr="00100628">
        <w:rPr>
          <w:rFonts w:cstheme="minorHAnsi"/>
          <w:sz w:val="24"/>
          <w:szCs w:val="24"/>
        </w:rPr>
        <w:br/>
        <w:t>Inicijativu za izmjene i dopune Statuta mogu dati Osnivač i ravnatelj.</w:t>
      </w:r>
      <w:r w:rsidRPr="00100628">
        <w:rPr>
          <w:rFonts w:cstheme="minorHAnsi"/>
          <w:sz w:val="24"/>
          <w:szCs w:val="24"/>
        </w:rPr>
        <w:br/>
        <w:t>Odredbe općih akata moraju biti u suglasnosti sa zakonom; u slučaju nesuglasnosti, primjenjuju se odredbe zakona.</w:t>
      </w:r>
      <w:r w:rsidRPr="00100628">
        <w:rPr>
          <w:rFonts w:cstheme="minorHAnsi"/>
          <w:sz w:val="24"/>
          <w:szCs w:val="24"/>
        </w:rPr>
        <w:br/>
        <w:t>Za tumačenje odredbi općih akata nadležan je njihov donositelj.</w:t>
      </w:r>
      <w:r w:rsidRPr="00100628">
        <w:rPr>
          <w:rFonts w:cstheme="minorHAnsi"/>
          <w:sz w:val="24"/>
          <w:szCs w:val="24"/>
        </w:rPr>
        <w:br/>
        <w:t>Ravnatelj je dužan Ministarstvu kulture i medija i Osnivaču dostaviti Statut u roku od osam dana od donošenja.</w:t>
      </w:r>
    </w:p>
    <w:p w14:paraId="4A2C4C10"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XI. RADNI ODNOSI</w:t>
      </w:r>
    </w:p>
    <w:p w14:paraId="206ED330"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33.</w:t>
      </w:r>
      <w:r w:rsidRPr="00100628">
        <w:rPr>
          <w:rFonts w:cstheme="minorHAnsi"/>
          <w:sz w:val="24"/>
          <w:szCs w:val="24"/>
        </w:rPr>
        <w:br/>
        <w:t>Radni odnosi u Centru uređuju se Pravilnikom o radu i drugim općim aktima Centra, u skladu s propisima o kulturi, općim propisima o radu, Kolektivnim ugovorom i drugim relevantnim propisima.</w:t>
      </w:r>
    </w:p>
    <w:p w14:paraId="56A895F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XII. SURADNJA SA SINDIKATOM</w:t>
      </w:r>
    </w:p>
    <w:p w14:paraId="1C8D905A"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34.</w:t>
      </w:r>
      <w:r w:rsidRPr="00100628">
        <w:rPr>
          <w:rFonts w:cstheme="minorHAnsi"/>
          <w:sz w:val="24"/>
          <w:szCs w:val="24"/>
        </w:rPr>
        <w:br/>
        <w:t>Sindikalno organiziranje u Centru je slobodno.</w:t>
      </w:r>
      <w:r w:rsidRPr="00100628">
        <w:rPr>
          <w:rFonts w:cstheme="minorHAnsi"/>
          <w:sz w:val="24"/>
          <w:szCs w:val="24"/>
        </w:rPr>
        <w:br/>
        <w:t>Centar je dužan izvršavati obveze prema Zakonu o radu, Pravilniku o radu, Kolektivnom ugovoru i drugim propisima te omogućiti nesmetan rad sindikata i radničkog vijeća, ako su utemeljeni.</w:t>
      </w:r>
    </w:p>
    <w:p w14:paraId="7DE796F2"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XIII. JAVNOST RADA</w:t>
      </w:r>
    </w:p>
    <w:p w14:paraId="3896C258"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35.</w:t>
      </w:r>
      <w:r w:rsidRPr="00100628">
        <w:rPr>
          <w:rFonts w:cstheme="minorHAnsi"/>
          <w:sz w:val="24"/>
          <w:szCs w:val="24"/>
        </w:rPr>
        <w:br/>
        <w:t>Rad Centra je javan.</w:t>
      </w:r>
      <w:r w:rsidRPr="00100628">
        <w:rPr>
          <w:rFonts w:cstheme="minorHAnsi"/>
          <w:sz w:val="24"/>
          <w:szCs w:val="24"/>
        </w:rPr>
        <w:br/>
        <w:t>Centar je dužan na mrežnim stranicama objaviti podatke o uvjetima i načinu pružanja usluga te obavljanju poslova iz djelatnosti.</w:t>
      </w:r>
      <w:r w:rsidRPr="00100628">
        <w:rPr>
          <w:rFonts w:cstheme="minorHAnsi"/>
          <w:sz w:val="24"/>
          <w:szCs w:val="24"/>
        </w:rPr>
        <w:br/>
        <w:t>Statut i drugi opći akti moraju biti objavljeni na mrežnim stranicama u lako pretraživom i strojno čitljivom obliku, zajedno s drugim dokumentima prema posebnim propisima.</w:t>
      </w:r>
    </w:p>
    <w:p w14:paraId="0AAA6A5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lastRenderedPageBreak/>
        <w:t>Članak 36.</w:t>
      </w:r>
      <w:r w:rsidRPr="00100628">
        <w:rPr>
          <w:rFonts w:cstheme="minorHAnsi"/>
          <w:sz w:val="24"/>
          <w:szCs w:val="24"/>
        </w:rPr>
        <w:br/>
        <w:t>Ravnatelj izvješćuje radnike o uvjetima i načinu rada Centra objavljivanjem općih akata, odluka i zaključaka ili drugim primjerenim načinom.</w:t>
      </w:r>
      <w:r w:rsidRPr="00100628">
        <w:rPr>
          <w:rFonts w:cstheme="minorHAnsi"/>
          <w:sz w:val="24"/>
          <w:szCs w:val="24"/>
        </w:rPr>
        <w:br/>
        <w:t>Ravnatelj i drugi ovlašteni radnici dužni su na zahtjev nadležnih tijela davati tražene podatke, osim u skladu s propisima o zaštiti tajnosti i osobnih podataka.</w:t>
      </w:r>
      <w:r w:rsidRPr="00100628">
        <w:rPr>
          <w:rFonts w:cstheme="minorHAnsi"/>
          <w:sz w:val="24"/>
          <w:szCs w:val="24"/>
        </w:rPr>
        <w:br/>
        <w:t>Za javnost rada odgovoran je ravnatelj.</w:t>
      </w:r>
    </w:p>
    <w:p w14:paraId="46BE19D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XIV. POSLOVNA TAJNA</w:t>
      </w:r>
    </w:p>
    <w:p w14:paraId="05F23A9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37.</w:t>
      </w:r>
      <w:r w:rsidRPr="00100628">
        <w:rPr>
          <w:rFonts w:cstheme="minorHAnsi"/>
          <w:sz w:val="24"/>
          <w:szCs w:val="24"/>
        </w:rPr>
        <w:br/>
        <w:t>Poslovnom tajnom smatraju se:</w:t>
      </w:r>
    </w:p>
    <w:p w14:paraId="38BE01B4"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podaci koji su zakonom ili propisom određeni kao poslovna tajna,</w:t>
      </w:r>
    </w:p>
    <w:p w14:paraId="6C542A3C"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podaci koje nadležno tijelo kao povjerljive priopći Centru,</w:t>
      </w:r>
    </w:p>
    <w:p w14:paraId="73E52373"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podaci o fizičko-tehničkoj zaštiti stručne građe i dokumentacije Centra,</w:t>
      </w:r>
    </w:p>
    <w:p w14:paraId="388DE318"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podaci o zaštiti objekata, imovine i radnika Centra,</w:t>
      </w:r>
    </w:p>
    <w:p w14:paraId="364DF459"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mjere i postupci u izvanrednim okolnostima,</w:t>
      </w:r>
    </w:p>
    <w:p w14:paraId="67A3D1FF"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dokumenti vezani za obranu,</w:t>
      </w:r>
    </w:p>
    <w:p w14:paraId="12BC1169" w14:textId="77777777" w:rsidR="00100628" w:rsidRPr="00100628" w:rsidRDefault="00100628" w:rsidP="00100628">
      <w:pPr>
        <w:numPr>
          <w:ilvl w:val="0"/>
          <w:numId w:val="4"/>
        </w:numPr>
        <w:spacing w:before="240" w:line="276" w:lineRule="auto"/>
        <w:rPr>
          <w:rFonts w:cstheme="minorHAnsi"/>
          <w:sz w:val="24"/>
          <w:szCs w:val="24"/>
        </w:rPr>
      </w:pPr>
      <w:r w:rsidRPr="00100628">
        <w:rPr>
          <w:rFonts w:cstheme="minorHAnsi"/>
          <w:sz w:val="24"/>
          <w:szCs w:val="24"/>
        </w:rPr>
        <w:t>druge isprave i podaci čije bi priopćavanje neovlaštenima bilo protivno interesima Centra i Osnivača.</w:t>
      </w:r>
    </w:p>
    <w:p w14:paraId="53F4A097"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Podatke mogu priopćavati ravnatelj i osobe koje on ovlasti.</w:t>
      </w:r>
      <w:r w:rsidRPr="00100628">
        <w:rPr>
          <w:rFonts w:cstheme="minorHAnsi"/>
          <w:sz w:val="24"/>
          <w:szCs w:val="24"/>
        </w:rPr>
        <w:br/>
        <w:t>Svi radnici dužni su čuvati poslovnu tajnu; povreda predstavlja radnu povredu.</w:t>
      </w:r>
      <w:r w:rsidRPr="00100628">
        <w:rPr>
          <w:rFonts w:cstheme="minorHAnsi"/>
          <w:sz w:val="24"/>
          <w:szCs w:val="24"/>
        </w:rPr>
        <w:br/>
        <w:t>O čuvanju poslovne tajne skrbi ravnatelj.</w:t>
      </w:r>
      <w:r w:rsidRPr="00100628">
        <w:rPr>
          <w:rFonts w:cstheme="minorHAnsi"/>
          <w:sz w:val="24"/>
          <w:szCs w:val="24"/>
        </w:rPr>
        <w:br/>
        <w:t>Odluku o sadržaju poslovne tajne donosi Vijeće Centra za kulturu.</w:t>
      </w:r>
    </w:p>
    <w:p w14:paraId="6AC1AA9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XV. ZAŠTITA OKOLIŠA</w:t>
      </w:r>
    </w:p>
    <w:p w14:paraId="22B9D4EC"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38.</w:t>
      </w:r>
      <w:r w:rsidRPr="00100628">
        <w:rPr>
          <w:rFonts w:cstheme="minorHAnsi"/>
          <w:sz w:val="24"/>
          <w:szCs w:val="24"/>
        </w:rPr>
        <w:br/>
        <w:t>Radnici Centra imaju pravo i dužnost brinuti o zaštiti i unapređivanju okoliša, osiguravati uvjete za čuvanje vrijednosti okoliša i sprječavati štetne posljedice.</w:t>
      </w:r>
      <w:r w:rsidRPr="00100628">
        <w:rPr>
          <w:rFonts w:cstheme="minorHAnsi"/>
          <w:sz w:val="24"/>
          <w:szCs w:val="24"/>
        </w:rPr>
        <w:br/>
        <w:t>Na djelatnosti koje ugrožavaju okoliš radnici su dužni upozoriti ravnatelja i Vijeće Centra za kulturu.</w:t>
      </w:r>
      <w:r w:rsidRPr="00100628">
        <w:rPr>
          <w:rFonts w:cstheme="minorHAnsi"/>
          <w:sz w:val="24"/>
          <w:szCs w:val="24"/>
        </w:rPr>
        <w:br/>
        <w:t>Nepoduzimanje mjera zaštite okoliša predstavlja povredu radne obveze.</w:t>
      </w:r>
    </w:p>
    <w:p w14:paraId="4E2A1D7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XVI. OBRANA</w:t>
      </w:r>
    </w:p>
    <w:p w14:paraId="40B8BC10"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39.</w:t>
      </w:r>
      <w:r w:rsidRPr="00100628">
        <w:rPr>
          <w:rFonts w:cstheme="minorHAnsi"/>
          <w:sz w:val="24"/>
          <w:szCs w:val="24"/>
        </w:rPr>
        <w:br/>
        <w:t xml:space="preserve">Centar je, u skladu sa Zakonom o obrani i drugim propisima, dužan osigurati uvjete za rad u </w:t>
      </w:r>
      <w:r w:rsidRPr="00100628">
        <w:rPr>
          <w:rFonts w:cstheme="minorHAnsi"/>
          <w:sz w:val="24"/>
          <w:szCs w:val="24"/>
        </w:rPr>
        <w:lastRenderedPageBreak/>
        <w:t>uvjetima ratnog stanja, neposredne ugroženosti Republike Hrvatske ili drugih propisanih situacija.</w:t>
      </w:r>
    </w:p>
    <w:p w14:paraId="0A139240"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XVII. PRIJELAZNE I ZAVRŠNE ODREDBE</w:t>
      </w:r>
    </w:p>
    <w:p w14:paraId="2BDE4BF6"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40.</w:t>
      </w:r>
      <w:r w:rsidRPr="00100628">
        <w:rPr>
          <w:rFonts w:cstheme="minorHAnsi"/>
          <w:sz w:val="24"/>
          <w:szCs w:val="24"/>
        </w:rPr>
        <w:br/>
        <w:t>Centar će opće akte uskladiti s ovim Statutom u roku od šest mjeseci od stupanja na snagu.</w:t>
      </w:r>
      <w:r w:rsidRPr="00100628">
        <w:rPr>
          <w:rFonts w:cstheme="minorHAnsi"/>
          <w:sz w:val="24"/>
          <w:szCs w:val="24"/>
        </w:rPr>
        <w:br/>
        <w:t>Do usklađivanja primjenjuju se postojeći opći akti ako nisu u suprotnosti sa zakonom i Statutom.</w:t>
      </w:r>
    </w:p>
    <w:p w14:paraId="0A14E460"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41.</w:t>
      </w:r>
      <w:r w:rsidRPr="00100628">
        <w:rPr>
          <w:rFonts w:cstheme="minorHAnsi"/>
          <w:sz w:val="24"/>
          <w:szCs w:val="24"/>
        </w:rPr>
        <w:br/>
        <w:t>Danom stupanja na snagu ovoga Statuta prestaje važiti prethodni Statut Centra za kulturu Općine Bol, KLASA: 021-05/10-01/7, URBROJ: 2104/10-02/01 od 08. veljače 2010.</w:t>
      </w:r>
    </w:p>
    <w:p w14:paraId="5E89FFB4" w14:textId="77777777" w:rsidR="00100628" w:rsidRPr="00100628" w:rsidRDefault="00100628" w:rsidP="00100628">
      <w:pPr>
        <w:spacing w:before="240" w:line="276" w:lineRule="auto"/>
        <w:rPr>
          <w:rFonts w:cstheme="minorHAnsi"/>
          <w:sz w:val="24"/>
          <w:szCs w:val="24"/>
        </w:rPr>
      </w:pPr>
      <w:r w:rsidRPr="00100628">
        <w:rPr>
          <w:rFonts w:cstheme="minorHAnsi"/>
          <w:sz w:val="24"/>
          <w:szCs w:val="24"/>
        </w:rPr>
        <w:t>Članak 42.</w:t>
      </w:r>
      <w:r w:rsidRPr="00100628">
        <w:rPr>
          <w:rFonts w:cstheme="minorHAnsi"/>
          <w:sz w:val="24"/>
          <w:szCs w:val="24"/>
        </w:rPr>
        <w:br/>
        <w:t>Ovaj Statut stupa na snagu osmog dana nakon objave u „Službenom glasniku“ Općine Bol.</w:t>
      </w:r>
    </w:p>
    <w:p w14:paraId="6F238B82" w14:textId="5AA908F7" w:rsidR="00100628" w:rsidRPr="00100628" w:rsidRDefault="00100628" w:rsidP="00100628">
      <w:pPr>
        <w:spacing w:before="240" w:line="276" w:lineRule="auto"/>
        <w:rPr>
          <w:rFonts w:cstheme="minorHAnsi"/>
          <w:sz w:val="24"/>
          <w:szCs w:val="24"/>
        </w:rPr>
      </w:pPr>
      <w:r w:rsidRPr="00100628">
        <w:rPr>
          <w:rFonts w:cstheme="minorHAnsi"/>
          <w:sz w:val="24"/>
          <w:szCs w:val="24"/>
        </w:rPr>
        <w:t xml:space="preserve">Ravnateljica: </w:t>
      </w:r>
      <w:r w:rsidR="00394CC8">
        <w:rPr>
          <w:rFonts w:cstheme="minorHAnsi"/>
          <w:sz w:val="24"/>
          <w:szCs w:val="24"/>
        </w:rPr>
        <w:t>Ivana Bošković</w:t>
      </w:r>
    </w:p>
    <w:p w14:paraId="41ABE261" w14:textId="4B44082E" w:rsidR="00100628" w:rsidRPr="00100628" w:rsidRDefault="00100628" w:rsidP="00394CC8">
      <w:pPr>
        <w:spacing w:before="240" w:line="276" w:lineRule="auto"/>
        <w:jc w:val="both"/>
        <w:rPr>
          <w:rFonts w:cstheme="minorHAnsi"/>
          <w:sz w:val="24"/>
          <w:szCs w:val="24"/>
        </w:rPr>
      </w:pPr>
      <w:r w:rsidRPr="00100628">
        <w:rPr>
          <w:rFonts w:cstheme="minorHAnsi"/>
          <w:sz w:val="24"/>
          <w:szCs w:val="24"/>
        </w:rPr>
        <w:t xml:space="preserve">Osnivač (Općinsko vijeće Općine Bol) dao je prethodnu </w:t>
      </w:r>
      <w:r w:rsidR="00394CC8">
        <w:rPr>
          <w:rFonts w:cstheme="minorHAnsi"/>
          <w:sz w:val="24"/>
          <w:szCs w:val="24"/>
        </w:rPr>
        <w:t>S</w:t>
      </w:r>
      <w:r w:rsidRPr="00100628">
        <w:rPr>
          <w:rFonts w:cstheme="minorHAnsi"/>
          <w:sz w:val="24"/>
          <w:szCs w:val="24"/>
        </w:rPr>
        <w:t xml:space="preserve">uglasnost </w:t>
      </w:r>
      <w:r w:rsidR="00394CC8">
        <w:rPr>
          <w:rFonts w:cstheme="minorHAnsi"/>
          <w:sz w:val="24"/>
          <w:szCs w:val="24"/>
        </w:rPr>
        <w:t xml:space="preserve">na Statut, </w:t>
      </w:r>
      <w:r w:rsidRPr="00100628">
        <w:rPr>
          <w:rFonts w:cstheme="minorHAnsi"/>
          <w:sz w:val="24"/>
          <w:szCs w:val="24"/>
        </w:rPr>
        <w:t xml:space="preserve"> KLASA: ___________, URBROJ: _____________, od _________ 202</w:t>
      </w:r>
      <w:r w:rsidR="00AD2BFD">
        <w:rPr>
          <w:rFonts w:cstheme="minorHAnsi"/>
          <w:sz w:val="24"/>
          <w:szCs w:val="24"/>
        </w:rPr>
        <w:t>5</w:t>
      </w:r>
      <w:r w:rsidRPr="00100628">
        <w:rPr>
          <w:rFonts w:cstheme="minorHAnsi"/>
          <w:sz w:val="24"/>
          <w:szCs w:val="24"/>
        </w:rPr>
        <w:t>.</w:t>
      </w:r>
      <w:r w:rsidR="00AD2BFD">
        <w:rPr>
          <w:rFonts w:cstheme="minorHAnsi"/>
          <w:sz w:val="24"/>
          <w:szCs w:val="24"/>
        </w:rPr>
        <w:t xml:space="preserve"> godine</w:t>
      </w:r>
    </w:p>
    <w:p w14:paraId="7A18694B" w14:textId="2721F163" w:rsidR="00100628" w:rsidRPr="00100628" w:rsidRDefault="00100628" w:rsidP="00394CC8">
      <w:pPr>
        <w:spacing w:before="240" w:line="276" w:lineRule="auto"/>
        <w:jc w:val="both"/>
        <w:rPr>
          <w:rFonts w:cstheme="minorHAnsi"/>
          <w:sz w:val="24"/>
          <w:szCs w:val="24"/>
        </w:rPr>
      </w:pPr>
      <w:r w:rsidRPr="00100628">
        <w:rPr>
          <w:rFonts w:cstheme="minorHAnsi"/>
          <w:sz w:val="24"/>
          <w:szCs w:val="24"/>
        </w:rPr>
        <w:t>Statut</w:t>
      </w:r>
      <w:r w:rsidR="00394CC8">
        <w:rPr>
          <w:rFonts w:cstheme="minorHAnsi"/>
          <w:sz w:val="24"/>
          <w:szCs w:val="24"/>
        </w:rPr>
        <w:t xml:space="preserve"> je </w:t>
      </w:r>
      <w:r w:rsidRPr="00100628">
        <w:rPr>
          <w:rFonts w:cstheme="minorHAnsi"/>
          <w:sz w:val="24"/>
          <w:szCs w:val="24"/>
        </w:rPr>
        <w:t xml:space="preserve"> objavljen u „Službenom glasniku“ Općine Bol dana _________, a stupio je na snagu _________ 202</w:t>
      </w:r>
      <w:r w:rsidR="00AD2BFD">
        <w:rPr>
          <w:rFonts w:cstheme="minorHAnsi"/>
          <w:sz w:val="24"/>
          <w:szCs w:val="24"/>
        </w:rPr>
        <w:t>5</w:t>
      </w:r>
      <w:r w:rsidRPr="00100628">
        <w:rPr>
          <w:rFonts w:cstheme="minorHAnsi"/>
          <w:sz w:val="24"/>
          <w:szCs w:val="24"/>
        </w:rPr>
        <w:t>.</w:t>
      </w:r>
    </w:p>
    <w:p w14:paraId="158C5C15" w14:textId="3E7A6018" w:rsidR="00100628" w:rsidRPr="00100628" w:rsidRDefault="00100628" w:rsidP="00100628">
      <w:pPr>
        <w:spacing w:before="240" w:line="276" w:lineRule="auto"/>
        <w:rPr>
          <w:rFonts w:cstheme="minorHAnsi"/>
          <w:sz w:val="24"/>
          <w:szCs w:val="24"/>
        </w:rPr>
      </w:pPr>
      <w:r w:rsidRPr="00100628">
        <w:rPr>
          <w:rFonts w:cstheme="minorHAnsi"/>
          <w:sz w:val="24"/>
          <w:szCs w:val="24"/>
        </w:rPr>
        <w:t xml:space="preserve">Ravnatelj/ica: </w:t>
      </w:r>
      <w:r w:rsidR="00394CC8">
        <w:rPr>
          <w:rFonts w:cstheme="minorHAnsi"/>
          <w:sz w:val="24"/>
          <w:szCs w:val="24"/>
        </w:rPr>
        <w:t>Ivana Bošković</w:t>
      </w:r>
    </w:p>
    <w:p w14:paraId="44B55297" w14:textId="77777777" w:rsidR="006E1D62" w:rsidRPr="00100628" w:rsidRDefault="006E1D62" w:rsidP="00100628">
      <w:pPr>
        <w:spacing w:before="240" w:line="276" w:lineRule="auto"/>
        <w:rPr>
          <w:rFonts w:cstheme="minorHAnsi"/>
          <w:sz w:val="24"/>
          <w:szCs w:val="24"/>
        </w:rPr>
      </w:pPr>
    </w:p>
    <w:sectPr w:rsidR="006E1D62" w:rsidRPr="00100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776"/>
    <w:multiLevelType w:val="multilevel"/>
    <w:tmpl w:val="79D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85E1F"/>
    <w:multiLevelType w:val="multilevel"/>
    <w:tmpl w:val="2CC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73FFA"/>
    <w:multiLevelType w:val="multilevel"/>
    <w:tmpl w:val="30C2E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C6849"/>
    <w:multiLevelType w:val="multilevel"/>
    <w:tmpl w:val="1202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526819">
    <w:abstractNumId w:val="3"/>
  </w:num>
  <w:num w:numId="2" w16cid:durableId="276184240">
    <w:abstractNumId w:val="2"/>
  </w:num>
  <w:num w:numId="3" w16cid:durableId="1986540441">
    <w:abstractNumId w:val="0"/>
  </w:num>
  <w:num w:numId="4" w16cid:durableId="120994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D9"/>
    <w:rsid w:val="00100628"/>
    <w:rsid w:val="00394CC8"/>
    <w:rsid w:val="006E1D62"/>
    <w:rsid w:val="008B696D"/>
    <w:rsid w:val="0096371C"/>
    <w:rsid w:val="00A221D9"/>
    <w:rsid w:val="00AD2BFD"/>
    <w:rsid w:val="00AE63CB"/>
    <w:rsid w:val="00D434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E509"/>
  <w15:chartTrackingRefBased/>
  <w15:docId w15:val="{732A80F5-2FB1-4039-B88A-B0337F9F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9674">
      <w:bodyDiv w:val="1"/>
      <w:marLeft w:val="0"/>
      <w:marRight w:val="0"/>
      <w:marTop w:val="0"/>
      <w:marBottom w:val="0"/>
      <w:divBdr>
        <w:top w:val="none" w:sz="0" w:space="0" w:color="auto"/>
        <w:left w:val="none" w:sz="0" w:space="0" w:color="auto"/>
        <w:bottom w:val="none" w:sz="0" w:space="0" w:color="auto"/>
        <w:right w:val="none" w:sz="0" w:space="0" w:color="auto"/>
      </w:divBdr>
    </w:div>
    <w:div w:id="16015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2239</Words>
  <Characters>12767</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Općina Bol</cp:lastModifiedBy>
  <cp:revision>6</cp:revision>
  <dcterms:created xsi:type="dcterms:W3CDTF">2025-12-01T10:18:00Z</dcterms:created>
  <dcterms:modified xsi:type="dcterms:W3CDTF">2025-12-01T10:50:00Z</dcterms:modified>
</cp:coreProperties>
</file>